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B4B18" w14:textId="77777777" w:rsidR="00D94195" w:rsidRDefault="00D94195">
      <w:pPr>
        <w:spacing w:before="2600"/>
      </w:pPr>
    </w:p>
    <w:p w14:paraId="6E6B4B19" w14:textId="77777777" w:rsidR="00D94195" w:rsidRDefault="00000000">
      <w:pPr>
        <w:jc w:val="center"/>
      </w:pPr>
      <w:r>
        <w:rPr>
          <w:noProof/>
        </w:rPr>
        <w:drawing>
          <wp:inline distT="0" distB="0" distL="0" distR="0" wp14:anchorId="6E6B4B62" wp14:editId="6E6B4B63">
            <wp:extent cx="361950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619500" cy="657225"/>
                    </a:xfrm>
                    <a:prstGeom prst="rect">
                      <a:avLst/>
                    </a:prstGeom>
                  </pic:spPr>
                </pic:pic>
              </a:graphicData>
            </a:graphic>
          </wp:inline>
        </w:drawing>
      </w:r>
    </w:p>
    <w:p w14:paraId="6E6B4B1A" w14:textId="77777777" w:rsidR="00D94195" w:rsidRDefault="00000000">
      <w:pPr>
        <w:spacing w:before="240"/>
        <w:jc w:val="center"/>
      </w:pPr>
      <w:r>
        <w:rPr>
          <w:rFonts w:ascii="Montserrat" w:eastAsia="Montserrat" w:hAnsi="Montserrat" w:cs="Montserrat"/>
          <w:color w:val="595959"/>
          <w:sz w:val="44"/>
          <w:szCs w:val="44"/>
        </w:rPr>
        <w:t>Carbon Reduction Plan</w:t>
      </w:r>
    </w:p>
    <w:p w14:paraId="6E6B4B1B" w14:textId="77777777" w:rsidR="00D94195" w:rsidRDefault="00000000">
      <w:pPr>
        <w:spacing w:before="480"/>
        <w:jc w:val="center"/>
      </w:pPr>
      <w:r>
        <w:rPr>
          <w:rFonts w:ascii="Arial" w:eastAsia="Arial" w:hAnsi="Arial" w:cs="Arial"/>
          <w:color w:val="595959"/>
          <w:sz w:val="24"/>
          <w:szCs w:val="24"/>
        </w:rPr>
        <w:t>Reporting period: 1 October 2024 to 30 September 2025</w:t>
      </w:r>
    </w:p>
    <w:p w14:paraId="6E6B4B1C" w14:textId="77777777" w:rsidR="00D94195" w:rsidRDefault="00000000">
      <w:pPr>
        <w:spacing w:before="120"/>
        <w:jc w:val="center"/>
      </w:pPr>
      <w:r>
        <w:rPr>
          <w:rFonts w:ascii="Arial" w:eastAsia="Arial" w:hAnsi="Arial" w:cs="Arial"/>
          <w:color w:val="595959"/>
          <w:sz w:val="22"/>
          <w:szCs w:val="22"/>
        </w:rPr>
        <w:t>Prepared under PPN 06/21</w:t>
      </w:r>
    </w:p>
    <w:p w14:paraId="6E6B4B1D" w14:textId="77777777" w:rsidR="00D94195" w:rsidRDefault="00000000">
      <w:r>
        <w:br w:type="page"/>
      </w:r>
    </w:p>
    <w:p w14:paraId="6E6B4B1E" w14:textId="77777777" w:rsidR="00D94195" w:rsidRDefault="00D94195">
      <w:pPr>
        <w:sectPr w:rsidR="00D94195">
          <w:pgSz w:w="11906" w:h="16838"/>
          <w:pgMar w:top="1440" w:right="1440" w:bottom="1440" w:left="1440" w:header="708" w:footer="708" w:gutter="0"/>
          <w:cols w:space="720"/>
          <w:docGrid w:linePitch="360"/>
        </w:sectPr>
      </w:pPr>
    </w:p>
    <w:p w14:paraId="6E6B4B1F" w14:textId="77777777" w:rsidR="00D94195" w:rsidRDefault="00000000">
      <w:pPr>
        <w:pStyle w:val="Heading1"/>
        <w:spacing w:before="320" w:after="160"/>
      </w:pPr>
      <w:r>
        <w:rPr>
          <w:rFonts w:ascii="Montserrat" w:eastAsia="Montserrat" w:hAnsi="Montserrat" w:cs="Montserrat"/>
          <w:b/>
          <w:bCs/>
          <w:color w:val="1B4F39"/>
          <w:sz w:val="28"/>
          <w:szCs w:val="28"/>
        </w:rPr>
        <w:lastRenderedPageBreak/>
        <w:t>Introduction</w:t>
      </w:r>
    </w:p>
    <w:p w14:paraId="6E6B4B20" w14:textId="37341C88" w:rsidR="00D94195" w:rsidRDefault="00000000">
      <w:pPr>
        <w:spacing w:after="160"/>
      </w:pPr>
      <w:r>
        <w:rPr>
          <w:rFonts w:ascii="Arial" w:eastAsia="Arial" w:hAnsi="Arial" w:cs="Arial"/>
          <w:sz w:val="22"/>
          <w:szCs w:val="22"/>
        </w:rPr>
        <w:t>F12 Consult Ltd is a UK software consultancy based in Huddersfield, West Yorkshire, supplying software development, cloud infrastructure, telematics and IoT, AI implementation, and business intelligence services. As part of our commitment to sustainability, and in line with the requirements of PPN 06/21, this plan sets out our carbon footprint and our commitment to reducing greenhouse gas emissions.</w:t>
      </w:r>
    </w:p>
    <w:p w14:paraId="6E6B4B21" w14:textId="77777777" w:rsidR="00D94195" w:rsidRDefault="00000000">
      <w:pPr>
        <w:spacing w:after="160"/>
      </w:pPr>
      <w:r>
        <w:rPr>
          <w:rFonts w:ascii="Arial" w:eastAsia="Arial" w:hAnsi="Arial" w:cs="Arial"/>
          <w:sz w:val="22"/>
          <w:szCs w:val="22"/>
        </w:rPr>
        <w:t>F12 Consult Ltd is committed to achieving Net Zero emissions by 2045 at the latest.</w:t>
      </w:r>
    </w:p>
    <w:p w14:paraId="6E6B4B22" w14:textId="77777777" w:rsidR="00D94195" w:rsidRDefault="00000000">
      <w:pPr>
        <w:pStyle w:val="Heading1"/>
        <w:spacing w:before="320" w:after="160"/>
      </w:pPr>
      <w:r>
        <w:rPr>
          <w:rFonts w:ascii="Montserrat" w:eastAsia="Montserrat" w:hAnsi="Montserrat" w:cs="Montserrat"/>
          <w:b/>
          <w:bCs/>
          <w:color w:val="1B4F39"/>
          <w:sz w:val="28"/>
          <w:szCs w:val="28"/>
        </w:rPr>
        <w:t>Baseline Emissions Footprint</w:t>
      </w:r>
    </w:p>
    <w:p w14:paraId="6E6B4B23" w14:textId="77777777" w:rsidR="00D94195" w:rsidRDefault="00000000">
      <w:pPr>
        <w:spacing w:after="160"/>
      </w:pPr>
      <w:r>
        <w:rPr>
          <w:rFonts w:ascii="Arial" w:eastAsia="Arial" w:hAnsi="Arial" w:cs="Arial"/>
          <w:sz w:val="22"/>
          <w:szCs w:val="22"/>
        </w:rPr>
        <w:t>This is F12 Consult's first Carbon Reduction Plan. The baseline year below covers the company's first full year of operation, from 1 October 2024 to 30 September 2025, and will be reviewed and updated annually each October.</w:t>
      </w:r>
    </w:p>
    <w:p w14:paraId="6E6B4B24" w14:textId="77777777" w:rsidR="00D94195" w:rsidRDefault="00000000">
      <w:pPr>
        <w:pStyle w:val="Heading2"/>
        <w:spacing w:before="240" w:after="120"/>
      </w:pPr>
      <w:r>
        <w:rPr>
          <w:rFonts w:ascii="Montserrat" w:eastAsia="Montserrat" w:hAnsi="Montserrat" w:cs="Montserrat"/>
          <w:b/>
          <w:bCs/>
          <w:color w:val="1B4F39"/>
          <w:sz w:val="24"/>
          <w:szCs w:val="24"/>
        </w:rPr>
        <w:t>Baseline year: 1 October 2024 to 30 September 2025</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2400"/>
        <w:gridCol w:w="3300"/>
      </w:tblGrid>
      <w:tr w:rsidR="00D94195" w14:paraId="6E6B4B28" w14:textId="77777777">
        <w:tblPrEx>
          <w:tblCellMar>
            <w:top w:w="0" w:type="dxa"/>
            <w:bottom w:w="0" w:type="dxa"/>
          </w:tblCellMar>
        </w:tblPrEx>
        <w:trPr>
          <w:tblHeader/>
        </w:trPr>
        <w:tc>
          <w:tcPr>
            <w:tcW w:w="4200" w:type="dxa"/>
            <w:shd w:val="clear" w:color="auto" w:fill="1B4F39"/>
            <w:tcMar>
              <w:top w:w="100" w:type="dxa"/>
              <w:left w:w="120" w:type="dxa"/>
              <w:bottom w:w="100" w:type="dxa"/>
              <w:right w:w="120" w:type="dxa"/>
            </w:tcMar>
            <w:vAlign w:val="center"/>
          </w:tcPr>
          <w:p w14:paraId="6E6B4B25" w14:textId="77777777" w:rsidR="00D94195" w:rsidRDefault="00000000">
            <w:r>
              <w:rPr>
                <w:rFonts w:ascii="Arial" w:eastAsia="Arial" w:hAnsi="Arial" w:cs="Arial"/>
                <w:b/>
                <w:bCs/>
                <w:color w:val="FFFFFF"/>
              </w:rPr>
              <w:t>Scope</w:t>
            </w:r>
          </w:p>
        </w:tc>
        <w:tc>
          <w:tcPr>
            <w:tcW w:w="2400" w:type="dxa"/>
            <w:shd w:val="clear" w:color="auto" w:fill="1B4F39"/>
            <w:tcMar>
              <w:top w:w="100" w:type="dxa"/>
              <w:left w:w="120" w:type="dxa"/>
              <w:bottom w:w="100" w:type="dxa"/>
              <w:right w:w="120" w:type="dxa"/>
            </w:tcMar>
            <w:vAlign w:val="center"/>
          </w:tcPr>
          <w:p w14:paraId="6E6B4B26" w14:textId="77777777" w:rsidR="00D94195" w:rsidRDefault="00000000">
            <w:r>
              <w:rPr>
                <w:rFonts w:ascii="Arial" w:eastAsia="Arial" w:hAnsi="Arial" w:cs="Arial"/>
                <w:b/>
                <w:bCs/>
                <w:color w:val="FFFFFF"/>
              </w:rPr>
              <w:t>Category</w:t>
            </w:r>
          </w:p>
        </w:tc>
        <w:tc>
          <w:tcPr>
            <w:tcW w:w="3300" w:type="dxa"/>
            <w:shd w:val="clear" w:color="auto" w:fill="1B4F39"/>
            <w:tcMar>
              <w:top w:w="100" w:type="dxa"/>
              <w:left w:w="120" w:type="dxa"/>
              <w:bottom w:w="100" w:type="dxa"/>
              <w:right w:w="120" w:type="dxa"/>
            </w:tcMar>
            <w:vAlign w:val="center"/>
          </w:tcPr>
          <w:p w14:paraId="6E6B4B27" w14:textId="77777777" w:rsidR="00D94195" w:rsidRDefault="00000000">
            <w:pPr>
              <w:jc w:val="right"/>
            </w:pPr>
            <w:r>
              <w:rPr>
                <w:rFonts w:ascii="Arial" w:eastAsia="Arial" w:hAnsi="Arial" w:cs="Arial"/>
                <w:b/>
                <w:bCs/>
                <w:color w:val="FFFFFF"/>
              </w:rPr>
              <w:t>tCO2e</w:t>
            </w:r>
          </w:p>
        </w:tc>
      </w:tr>
      <w:tr w:rsidR="00D94195" w14:paraId="6E6B4B2C" w14:textId="77777777">
        <w:tblPrEx>
          <w:tblCellMar>
            <w:top w:w="0" w:type="dxa"/>
            <w:bottom w:w="0" w:type="dxa"/>
          </w:tblCellMar>
        </w:tblPrEx>
        <w:tc>
          <w:tcPr>
            <w:tcW w:w="4200" w:type="dxa"/>
            <w:shd w:val="clear" w:color="auto" w:fill="FFFFFF"/>
            <w:tcMar>
              <w:top w:w="100" w:type="dxa"/>
              <w:left w:w="120" w:type="dxa"/>
              <w:bottom w:w="100" w:type="dxa"/>
              <w:right w:w="120" w:type="dxa"/>
            </w:tcMar>
            <w:vAlign w:val="center"/>
          </w:tcPr>
          <w:p w14:paraId="6E6B4B29" w14:textId="77777777" w:rsidR="00D94195" w:rsidRDefault="00000000">
            <w:r>
              <w:rPr>
                <w:rFonts w:ascii="Arial" w:eastAsia="Arial" w:hAnsi="Arial" w:cs="Arial"/>
                <w:color w:val="000000"/>
              </w:rPr>
              <w:t>Scope 1</w:t>
            </w:r>
          </w:p>
        </w:tc>
        <w:tc>
          <w:tcPr>
            <w:tcW w:w="2400" w:type="dxa"/>
            <w:shd w:val="clear" w:color="auto" w:fill="FFFFFF"/>
            <w:tcMar>
              <w:top w:w="100" w:type="dxa"/>
              <w:left w:w="120" w:type="dxa"/>
              <w:bottom w:w="100" w:type="dxa"/>
              <w:right w:w="120" w:type="dxa"/>
            </w:tcMar>
            <w:vAlign w:val="center"/>
          </w:tcPr>
          <w:p w14:paraId="6E6B4B2A" w14:textId="77777777" w:rsidR="00D94195" w:rsidRDefault="00000000">
            <w:r>
              <w:rPr>
                <w:rFonts w:ascii="Arial" w:eastAsia="Arial" w:hAnsi="Arial" w:cs="Arial"/>
                <w:color w:val="000000"/>
              </w:rPr>
              <w:t>Direct emissions (owned vehicles, on site fuel combustion)</w:t>
            </w:r>
          </w:p>
        </w:tc>
        <w:tc>
          <w:tcPr>
            <w:tcW w:w="3300" w:type="dxa"/>
            <w:shd w:val="clear" w:color="auto" w:fill="FFFFFF"/>
            <w:tcMar>
              <w:top w:w="100" w:type="dxa"/>
              <w:left w:w="120" w:type="dxa"/>
              <w:bottom w:w="100" w:type="dxa"/>
              <w:right w:w="120" w:type="dxa"/>
            </w:tcMar>
            <w:vAlign w:val="center"/>
          </w:tcPr>
          <w:p w14:paraId="6E6B4B2B" w14:textId="77777777" w:rsidR="00D94195" w:rsidRDefault="00000000">
            <w:pPr>
              <w:jc w:val="right"/>
            </w:pPr>
            <w:r>
              <w:rPr>
                <w:rFonts w:ascii="Arial" w:eastAsia="Arial" w:hAnsi="Arial" w:cs="Arial"/>
                <w:color w:val="000000"/>
              </w:rPr>
              <w:t>0.00</w:t>
            </w:r>
          </w:p>
        </w:tc>
      </w:tr>
      <w:tr w:rsidR="00D94195" w14:paraId="6E6B4B30" w14:textId="77777777">
        <w:tblPrEx>
          <w:tblCellMar>
            <w:top w:w="0" w:type="dxa"/>
            <w:bottom w:w="0" w:type="dxa"/>
          </w:tblCellMar>
        </w:tblPrEx>
        <w:tc>
          <w:tcPr>
            <w:tcW w:w="4200" w:type="dxa"/>
            <w:shd w:val="clear" w:color="auto" w:fill="FFFFFF"/>
            <w:tcMar>
              <w:top w:w="100" w:type="dxa"/>
              <w:left w:w="120" w:type="dxa"/>
              <w:bottom w:w="100" w:type="dxa"/>
              <w:right w:w="120" w:type="dxa"/>
            </w:tcMar>
            <w:vAlign w:val="center"/>
          </w:tcPr>
          <w:p w14:paraId="6E6B4B2D" w14:textId="77777777" w:rsidR="00D94195" w:rsidRDefault="00000000">
            <w:r>
              <w:rPr>
                <w:rFonts w:ascii="Arial" w:eastAsia="Arial" w:hAnsi="Arial" w:cs="Arial"/>
                <w:color w:val="000000"/>
              </w:rPr>
              <w:t>Scope 2</w:t>
            </w:r>
          </w:p>
        </w:tc>
        <w:tc>
          <w:tcPr>
            <w:tcW w:w="2400" w:type="dxa"/>
            <w:shd w:val="clear" w:color="auto" w:fill="FFFFFF"/>
            <w:tcMar>
              <w:top w:w="100" w:type="dxa"/>
              <w:left w:w="120" w:type="dxa"/>
              <w:bottom w:w="100" w:type="dxa"/>
              <w:right w:w="120" w:type="dxa"/>
            </w:tcMar>
            <w:vAlign w:val="center"/>
          </w:tcPr>
          <w:p w14:paraId="6E6B4B2E" w14:textId="77777777" w:rsidR="00D94195" w:rsidRDefault="00000000">
            <w:r>
              <w:rPr>
                <w:rFonts w:ascii="Arial" w:eastAsia="Arial" w:hAnsi="Arial" w:cs="Arial"/>
                <w:color w:val="000000"/>
              </w:rPr>
              <w:t>Purchased electricity, office (estimated)</w:t>
            </w:r>
          </w:p>
        </w:tc>
        <w:tc>
          <w:tcPr>
            <w:tcW w:w="3300" w:type="dxa"/>
            <w:shd w:val="clear" w:color="auto" w:fill="FFFFFF"/>
            <w:tcMar>
              <w:top w:w="100" w:type="dxa"/>
              <w:left w:w="120" w:type="dxa"/>
              <w:bottom w:w="100" w:type="dxa"/>
              <w:right w:w="120" w:type="dxa"/>
            </w:tcMar>
            <w:vAlign w:val="center"/>
          </w:tcPr>
          <w:p w14:paraId="6E6B4B2F" w14:textId="77777777" w:rsidR="00D94195" w:rsidRDefault="00000000">
            <w:pPr>
              <w:jc w:val="right"/>
            </w:pPr>
            <w:r>
              <w:rPr>
                <w:rFonts w:ascii="Arial" w:eastAsia="Arial" w:hAnsi="Arial" w:cs="Arial"/>
                <w:color w:val="000000"/>
              </w:rPr>
              <w:t>0.47</w:t>
            </w:r>
          </w:p>
        </w:tc>
      </w:tr>
      <w:tr w:rsidR="00D94195" w14:paraId="6E6B4B34" w14:textId="77777777">
        <w:tblPrEx>
          <w:tblCellMar>
            <w:top w:w="0" w:type="dxa"/>
            <w:bottom w:w="0" w:type="dxa"/>
          </w:tblCellMar>
        </w:tblPrEx>
        <w:tc>
          <w:tcPr>
            <w:tcW w:w="4200" w:type="dxa"/>
            <w:shd w:val="clear" w:color="auto" w:fill="FFFFFF"/>
            <w:tcMar>
              <w:top w:w="100" w:type="dxa"/>
              <w:left w:w="120" w:type="dxa"/>
              <w:bottom w:w="100" w:type="dxa"/>
              <w:right w:w="120" w:type="dxa"/>
            </w:tcMar>
            <w:vAlign w:val="center"/>
          </w:tcPr>
          <w:p w14:paraId="6E6B4B31" w14:textId="77777777" w:rsidR="00D94195" w:rsidRDefault="00000000">
            <w:r>
              <w:rPr>
                <w:rFonts w:ascii="Arial" w:eastAsia="Arial" w:hAnsi="Arial" w:cs="Arial"/>
                <w:color w:val="000000"/>
              </w:rPr>
              <w:t>Scope 3</w:t>
            </w:r>
          </w:p>
        </w:tc>
        <w:tc>
          <w:tcPr>
            <w:tcW w:w="2400" w:type="dxa"/>
            <w:shd w:val="clear" w:color="auto" w:fill="FFFFFF"/>
            <w:tcMar>
              <w:top w:w="100" w:type="dxa"/>
              <w:left w:w="120" w:type="dxa"/>
              <w:bottom w:w="100" w:type="dxa"/>
              <w:right w:w="120" w:type="dxa"/>
            </w:tcMar>
            <w:vAlign w:val="center"/>
          </w:tcPr>
          <w:p w14:paraId="6E6B4B32" w14:textId="77777777" w:rsidR="00D94195" w:rsidRDefault="00000000">
            <w:r>
              <w:rPr>
                <w:rFonts w:ascii="Arial" w:eastAsia="Arial" w:hAnsi="Arial" w:cs="Arial"/>
                <w:color w:val="000000"/>
              </w:rPr>
              <w:t>Business travel (client visits)</w:t>
            </w:r>
          </w:p>
        </w:tc>
        <w:tc>
          <w:tcPr>
            <w:tcW w:w="3300" w:type="dxa"/>
            <w:shd w:val="clear" w:color="auto" w:fill="FFFFFF"/>
            <w:tcMar>
              <w:top w:w="100" w:type="dxa"/>
              <w:left w:w="120" w:type="dxa"/>
              <w:bottom w:w="100" w:type="dxa"/>
              <w:right w:w="120" w:type="dxa"/>
            </w:tcMar>
            <w:vAlign w:val="center"/>
          </w:tcPr>
          <w:p w14:paraId="6E6B4B33" w14:textId="77777777" w:rsidR="00D94195" w:rsidRDefault="00000000">
            <w:pPr>
              <w:jc w:val="right"/>
            </w:pPr>
            <w:r>
              <w:rPr>
                <w:rFonts w:ascii="Arial" w:eastAsia="Arial" w:hAnsi="Arial" w:cs="Arial"/>
                <w:color w:val="000000"/>
              </w:rPr>
              <w:t>0.08</w:t>
            </w:r>
          </w:p>
        </w:tc>
      </w:tr>
      <w:tr w:rsidR="00D94195" w14:paraId="6E6B4B38" w14:textId="77777777">
        <w:tblPrEx>
          <w:tblCellMar>
            <w:top w:w="0" w:type="dxa"/>
            <w:bottom w:w="0" w:type="dxa"/>
          </w:tblCellMar>
        </w:tblPrEx>
        <w:tc>
          <w:tcPr>
            <w:tcW w:w="4200" w:type="dxa"/>
            <w:shd w:val="clear" w:color="auto" w:fill="FFFFFF"/>
            <w:tcMar>
              <w:top w:w="100" w:type="dxa"/>
              <w:left w:w="120" w:type="dxa"/>
              <w:bottom w:w="100" w:type="dxa"/>
              <w:right w:w="120" w:type="dxa"/>
            </w:tcMar>
            <w:vAlign w:val="center"/>
          </w:tcPr>
          <w:p w14:paraId="6E6B4B35" w14:textId="77777777" w:rsidR="00D94195" w:rsidRDefault="00000000">
            <w:r>
              <w:rPr>
                <w:rFonts w:ascii="Arial" w:eastAsia="Arial" w:hAnsi="Arial" w:cs="Arial"/>
                <w:color w:val="000000"/>
              </w:rPr>
              <w:t>Scope 3</w:t>
            </w:r>
          </w:p>
        </w:tc>
        <w:tc>
          <w:tcPr>
            <w:tcW w:w="2400" w:type="dxa"/>
            <w:shd w:val="clear" w:color="auto" w:fill="FFFFFF"/>
            <w:tcMar>
              <w:top w:w="100" w:type="dxa"/>
              <w:left w:w="120" w:type="dxa"/>
              <w:bottom w:w="100" w:type="dxa"/>
              <w:right w:w="120" w:type="dxa"/>
            </w:tcMar>
            <w:vAlign w:val="center"/>
          </w:tcPr>
          <w:p w14:paraId="6E6B4B36" w14:textId="77777777" w:rsidR="00D94195" w:rsidRDefault="00000000">
            <w:r>
              <w:rPr>
                <w:rFonts w:ascii="Arial" w:eastAsia="Arial" w:hAnsi="Arial" w:cs="Arial"/>
                <w:color w:val="000000"/>
              </w:rPr>
              <w:t>Employee commuting</w:t>
            </w:r>
          </w:p>
        </w:tc>
        <w:tc>
          <w:tcPr>
            <w:tcW w:w="3300" w:type="dxa"/>
            <w:shd w:val="clear" w:color="auto" w:fill="FFFFFF"/>
            <w:tcMar>
              <w:top w:w="100" w:type="dxa"/>
              <w:left w:w="120" w:type="dxa"/>
              <w:bottom w:w="100" w:type="dxa"/>
              <w:right w:w="120" w:type="dxa"/>
            </w:tcMar>
            <w:vAlign w:val="center"/>
          </w:tcPr>
          <w:p w14:paraId="6E6B4B37" w14:textId="77777777" w:rsidR="00D94195" w:rsidRDefault="00000000">
            <w:pPr>
              <w:jc w:val="right"/>
            </w:pPr>
            <w:r>
              <w:rPr>
                <w:rFonts w:ascii="Arial" w:eastAsia="Arial" w:hAnsi="Arial" w:cs="Arial"/>
                <w:color w:val="000000"/>
              </w:rPr>
              <w:t>1.04</w:t>
            </w:r>
          </w:p>
        </w:tc>
      </w:tr>
      <w:tr w:rsidR="00D94195" w14:paraId="6E6B4B3C" w14:textId="77777777">
        <w:tblPrEx>
          <w:tblCellMar>
            <w:top w:w="0" w:type="dxa"/>
            <w:bottom w:w="0" w:type="dxa"/>
          </w:tblCellMar>
        </w:tblPrEx>
        <w:tc>
          <w:tcPr>
            <w:tcW w:w="4200" w:type="dxa"/>
            <w:shd w:val="clear" w:color="auto" w:fill="FFFFFF"/>
            <w:tcMar>
              <w:top w:w="100" w:type="dxa"/>
              <w:left w:w="120" w:type="dxa"/>
              <w:bottom w:w="100" w:type="dxa"/>
              <w:right w:w="120" w:type="dxa"/>
            </w:tcMar>
            <w:vAlign w:val="center"/>
          </w:tcPr>
          <w:p w14:paraId="6E6B4B39" w14:textId="77777777" w:rsidR="00D94195" w:rsidRDefault="00000000">
            <w:r>
              <w:rPr>
                <w:rFonts w:ascii="Arial" w:eastAsia="Arial" w:hAnsi="Arial" w:cs="Arial"/>
                <w:color w:val="000000"/>
              </w:rPr>
              <w:t>Scope 3</w:t>
            </w:r>
          </w:p>
        </w:tc>
        <w:tc>
          <w:tcPr>
            <w:tcW w:w="2400" w:type="dxa"/>
            <w:shd w:val="clear" w:color="auto" w:fill="FFFFFF"/>
            <w:tcMar>
              <w:top w:w="100" w:type="dxa"/>
              <w:left w:w="120" w:type="dxa"/>
              <w:bottom w:w="100" w:type="dxa"/>
              <w:right w:w="120" w:type="dxa"/>
            </w:tcMar>
            <w:vAlign w:val="center"/>
          </w:tcPr>
          <w:p w14:paraId="6E6B4B3A" w14:textId="77777777" w:rsidR="00D94195" w:rsidRDefault="00000000">
            <w:r>
              <w:rPr>
                <w:rFonts w:ascii="Arial" w:eastAsia="Arial" w:hAnsi="Arial" w:cs="Arial"/>
                <w:color w:val="000000"/>
              </w:rPr>
              <w:t>Company IT equipment (laptop electricity use, estimated)</w:t>
            </w:r>
          </w:p>
        </w:tc>
        <w:tc>
          <w:tcPr>
            <w:tcW w:w="3300" w:type="dxa"/>
            <w:shd w:val="clear" w:color="auto" w:fill="FFFFFF"/>
            <w:tcMar>
              <w:top w:w="100" w:type="dxa"/>
              <w:left w:w="120" w:type="dxa"/>
              <w:bottom w:w="100" w:type="dxa"/>
              <w:right w:w="120" w:type="dxa"/>
            </w:tcMar>
            <w:vAlign w:val="center"/>
          </w:tcPr>
          <w:p w14:paraId="6E6B4B3B" w14:textId="77777777" w:rsidR="00D94195" w:rsidRDefault="00000000">
            <w:pPr>
              <w:jc w:val="right"/>
            </w:pPr>
            <w:r>
              <w:rPr>
                <w:rFonts w:ascii="Arial" w:eastAsia="Arial" w:hAnsi="Arial" w:cs="Arial"/>
                <w:color w:val="000000"/>
              </w:rPr>
              <w:t>0.11</w:t>
            </w:r>
          </w:p>
        </w:tc>
      </w:tr>
      <w:tr w:rsidR="00D94195" w14:paraId="6E6B4B40" w14:textId="77777777">
        <w:tblPrEx>
          <w:tblCellMar>
            <w:top w:w="0" w:type="dxa"/>
            <w:bottom w:w="0" w:type="dxa"/>
          </w:tblCellMar>
        </w:tblPrEx>
        <w:tc>
          <w:tcPr>
            <w:tcW w:w="4200" w:type="dxa"/>
            <w:shd w:val="clear" w:color="auto" w:fill="1B4F39"/>
            <w:tcMar>
              <w:top w:w="100" w:type="dxa"/>
              <w:left w:w="120" w:type="dxa"/>
              <w:bottom w:w="100" w:type="dxa"/>
              <w:right w:w="120" w:type="dxa"/>
            </w:tcMar>
            <w:vAlign w:val="center"/>
          </w:tcPr>
          <w:p w14:paraId="6E6B4B3D" w14:textId="77777777" w:rsidR="00D94195" w:rsidRDefault="00000000">
            <w:r>
              <w:rPr>
                <w:rFonts w:ascii="Arial" w:eastAsia="Arial" w:hAnsi="Arial" w:cs="Arial"/>
                <w:b/>
                <w:bCs/>
                <w:color w:val="FFFFFF"/>
              </w:rPr>
              <w:t>Total</w:t>
            </w:r>
          </w:p>
        </w:tc>
        <w:tc>
          <w:tcPr>
            <w:tcW w:w="2400" w:type="dxa"/>
            <w:shd w:val="clear" w:color="auto" w:fill="1B4F39"/>
            <w:tcMar>
              <w:top w:w="100" w:type="dxa"/>
              <w:left w:w="120" w:type="dxa"/>
              <w:bottom w:w="100" w:type="dxa"/>
              <w:right w:w="120" w:type="dxa"/>
            </w:tcMar>
            <w:vAlign w:val="center"/>
          </w:tcPr>
          <w:p w14:paraId="6E6B4B3E" w14:textId="77777777" w:rsidR="00D94195" w:rsidRDefault="00D94195"/>
        </w:tc>
        <w:tc>
          <w:tcPr>
            <w:tcW w:w="3300" w:type="dxa"/>
            <w:shd w:val="clear" w:color="auto" w:fill="1B4F39"/>
            <w:tcMar>
              <w:top w:w="100" w:type="dxa"/>
              <w:left w:w="120" w:type="dxa"/>
              <w:bottom w:w="100" w:type="dxa"/>
              <w:right w:w="120" w:type="dxa"/>
            </w:tcMar>
            <w:vAlign w:val="center"/>
          </w:tcPr>
          <w:p w14:paraId="6E6B4B3F" w14:textId="77777777" w:rsidR="00D94195" w:rsidRDefault="00000000">
            <w:pPr>
              <w:jc w:val="right"/>
            </w:pPr>
            <w:r>
              <w:rPr>
                <w:rFonts w:ascii="Arial" w:eastAsia="Arial" w:hAnsi="Arial" w:cs="Arial"/>
                <w:b/>
                <w:bCs/>
                <w:color w:val="FFFFFF"/>
              </w:rPr>
              <w:t>1.70</w:t>
            </w:r>
          </w:p>
        </w:tc>
      </w:tr>
    </w:tbl>
    <w:p w14:paraId="6E6B4B41" w14:textId="77777777" w:rsidR="00D94195" w:rsidRDefault="00000000">
      <w:pPr>
        <w:spacing w:after="160"/>
      </w:pPr>
      <w:r>
        <w:rPr>
          <w:rFonts w:ascii="Arial" w:eastAsia="Arial" w:hAnsi="Arial" w:cs="Arial"/>
          <w:b/>
          <w:bCs/>
          <w:sz w:val="22"/>
          <w:szCs w:val="22"/>
        </w:rPr>
        <w:t>Total emissions: 1.70 tCO2e (approximately 0.14 tCO2e per employee, based on 12 staff)</w:t>
      </w:r>
    </w:p>
    <w:p w14:paraId="6E6B4B42" w14:textId="77777777" w:rsidR="00D94195" w:rsidRDefault="00000000">
      <w:pPr>
        <w:pStyle w:val="Heading1"/>
        <w:spacing w:before="320" w:after="160"/>
      </w:pPr>
      <w:r>
        <w:rPr>
          <w:rFonts w:ascii="Montserrat" w:eastAsia="Montserrat" w:hAnsi="Montserrat" w:cs="Montserrat"/>
          <w:b/>
          <w:bCs/>
          <w:color w:val="1B4F39"/>
          <w:sz w:val="28"/>
          <w:szCs w:val="28"/>
        </w:rPr>
        <w:t>Current Emissions Reporting</w:t>
      </w:r>
    </w:p>
    <w:p w14:paraId="6E6B4B43" w14:textId="77777777" w:rsidR="00D94195" w:rsidRDefault="00000000">
      <w:pPr>
        <w:spacing w:after="160"/>
      </w:pPr>
      <w:r>
        <w:rPr>
          <w:rFonts w:ascii="Arial" w:eastAsia="Arial" w:hAnsi="Arial" w:cs="Arial"/>
          <w:sz w:val="22"/>
          <w:szCs w:val="22"/>
        </w:rPr>
        <w:t>As this is F12 Consult's first Carbon Reduction Plan, the current reporting year is the same as the baseline year above: 1 October 2024 to 30 September 2025. The next update to this plan is due in October 2026, covering the year to 30 September 2026.</w:t>
      </w:r>
    </w:p>
    <w:p w14:paraId="6E6B4B44" w14:textId="77777777" w:rsidR="00D94195" w:rsidRDefault="00000000">
      <w:pPr>
        <w:pStyle w:val="Heading1"/>
        <w:spacing w:before="320" w:after="160"/>
      </w:pPr>
      <w:r>
        <w:rPr>
          <w:rFonts w:ascii="Montserrat" w:eastAsia="Montserrat" w:hAnsi="Montserrat" w:cs="Montserrat"/>
          <w:b/>
          <w:bCs/>
          <w:color w:val="1B4F39"/>
          <w:sz w:val="28"/>
          <w:szCs w:val="28"/>
        </w:rPr>
        <w:t>Methodology and Assumptions</w:t>
      </w:r>
    </w:p>
    <w:p w14:paraId="6E6B4B45" w14:textId="77777777" w:rsidR="00D94195" w:rsidRDefault="00000000">
      <w:pPr>
        <w:spacing w:after="160"/>
      </w:pPr>
      <w:r>
        <w:rPr>
          <w:rFonts w:ascii="Arial" w:eastAsia="Arial" w:hAnsi="Arial" w:cs="Arial"/>
          <w:sz w:val="22"/>
          <w:szCs w:val="22"/>
        </w:rPr>
        <w:t>F12 Consult has no owned servers or on-premise infrastructure; all systems are hosted with third-party cloud providers (Microsoft Azure and Amazon Web Services). All emissions figures use the DESNZ 2025 UK Government Greenhouse Gas Conversion Factors. Given the company's size, several figures below are estimated using reasonable industry benchmarks rather than metered data, as noted.</w:t>
      </w:r>
    </w:p>
    <w:p w14:paraId="6E6B4B46" w14:textId="77777777" w:rsidR="00D94195" w:rsidRDefault="00000000">
      <w:pPr>
        <w:pStyle w:val="ListParagraph"/>
        <w:numPr>
          <w:ilvl w:val="0"/>
          <w:numId w:val="1"/>
        </w:numPr>
        <w:spacing w:after="80"/>
      </w:pPr>
      <w:r>
        <w:rPr>
          <w:rFonts w:ascii="Arial" w:eastAsia="Arial" w:hAnsi="Arial" w:cs="Arial"/>
          <w:sz w:val="22"/>
          <w:szCs w:val="22"/>
        </w:rPr>
        <w:lastRenderedPageBreak/>
        <w:t>Office: 430 sq ft (approximately 40 sq m) at Fairfield Mills, Huddersfield, with electric heating. Energy costs are included within the rent, with no separate meter available. The office is used for an average of approximately 1.5 days per week across the team. Electricity use has been estimated using a general small office benchmark, adjusted for this occupancy level, and converted at 0.196 kgCO2e per kWh (DESNZ 2025 combined electricity factor).</w:t>
      </w:r>
    </w:p>
    <w:p w14:paraId="6E6B4B47" w14:textId="77777777" w:rsidR="00D94195" w:rsidRDefault="00000000">
      <w:pPr>
        <w:pStyle w:val="ListParagraph"/>
        <w:numPr>
          <w:ilvl w:val="0"/>
          <w:numId w:val="1"/>
        </w:numPr>
        <w:spacing w:after="80"/>
      </w:pPr>
      <w:r>
        <w:rPr>
          <w:rFonts w:ascii="Arial" w:eastAsia="Arial" w:hAnsi="Arial" w:cs="Arial"/>
          <w:sz w:val="22"/>
          <w:szCs w:val="22"/>
        </w:rPr>
        <w:t>Employee commuting: of the team members who travel into the office regularly, one drives an electric vehicle (approximately 5 miles each way), one a diesel vehicle (approximately 30 miles each way), and one a petrol vehicle (approximately 8 miles each way). This has been estimated on the basis of one round trip per week over 52 weeks.</w:t>
      </w:r>
    </w:p>
    <w:p w14:paraId="6E6B4B48" w14:textId="77777777" w:rsidR="00D94195" w:rsidRDefault="00000000">
      <w:pPr>
        <w:pStyle w:val="ListParagraph"/>
        <w:numPr>
          <w:ilvl w:val="0"/>
          <w:numId w:val="1"/>
        </w:numPr>
        <w:spacing w:after="80"/>
      </w:pPr>
      <w:r>
        <w:rPr>
          <w:rFonts w:ascii="Arial" w:eastAsia="Arial" w:hAnsi="Arial" w:cs="Arial"/>
          <w:sz w:val="22"/>
          <w:szCs w:val="22"/>
        </w:rPr>
        <w:t>Business travel: approximately 1,000 miles per year, undertaken in a personal electric vehicle for client visits.</w:t>
      </w:r>
    </w:p>
    <w:p w14:paraId="6E6B4B49" w14:textId="77777777" w:rsidR="00D94195" w:rsidRDefault="00000000">
      <w:pPr>
        <w:pStyle w:val="ListParagraph"/>
        <w:numPr>
          <w:ilvl w:val="0"/>
          <w:numId w:val="1"/>
        </w:numPr>
        <w:spacing w:after="80"/>
      </w:pPr>
      <w:r>
        <w:rPr>
          <w:rFonts w:ascii="Arial" w:eastAsia="Arial" w:hAnsi="Arial" w:cs="Arial"/>
          <w:sz w:val="22"/>
          <w:szCs w:val="22"/>
        </w:rPr>
        <w:t>IT equipment: 12 company laptops, with no owned servers. Electricity use has been estimated based on typical laptop power consumption over a standard working year.</w:t>
      </w:r>
    </w:p>
    <w:p w14:paraId="6E6B4B4A" w14:textId="77777777" w:rsidR="00D94195" w:rsidRDefault="00000000">
      <w:pPr>
        <w:pStyle w:val="ListParagraph"/>
        <w:numPr>
          <w:ilvl w:val="0"/>
          <w:numId w:val="1"/>
        </w:numPr>
        <w:spacing w:after="80"/>
      </w:pPr>
      <w:r>
        <w:rPr>
          <w:rFonts w:ascii="Arial" w:eastAsia="Arial" w:hAnsi="Arial" w:cs="Arial"/>
          <w:sz w:val="22"/>
          <w:szCs w:val="22"/>
        </w:rPr>
        <w:t>No Scope 1 emissions have been identified. F12 Consult holds no company vehicles, plant, or fuel burning equipment.</w:t>
      </w:r>
    </w:p>
    <w:p w14:paraId="6E6B4B4B" w14:textId="77777777" w:rsidR="00D94195" w:rsidRDefault="00000000">
      <w:pPr>
        <w:pStyle w:val="ListParagraph"/>
        <w:numPr>
          <w:ilvl w:val="0"/>
          <w:numId w:val="1"/>
        </w:numPr>
        <w:spacing w:after="80"/>
      </w:pPr>
      <w:r>
        <w:rPr>
          <w:rFonts w:ascii="Arial" w:eastAsia="Arial" w:hAnsi="Arial" w:cs="Arial"/>
          <w:sz w:val="22"/>
          <w:szCs w:val="22"/>
        </w:rPr>
        <w:t>Cloud hosting emissions (Microsoft Azure and Amazon Web Services) have not yet been separately quantified. We plan to incorporate supplier reported figures, such as the Azure Emissions Impact Dashboard and the AWS Customer Carbon Footprint Tool, into future updates of this plan.</w:t>
      </w:r>
    </w:p>
    <w:p w14:paraId="6E6B4B4C" w14:textId="77777777" w:rsidR="00D94195" w:rsidRDefault="00000000">
      <w:pPr>
        <w:pStyle w:val="Heading1"/>
        <w:spacing w:before="320" w:after="160"/>
      </w:pPr>
      <w:r>
        <w:rPr>
          <w:rFonts w:ascii="Montserrat" w:eastAsia="Montserrat" w:hAnsi="Montserrat" w:cs="Montserrat"/>
          <w:b/>
          <w:bCs/>
          <w:color w:val="1B4F39"/>
          <w:sz w:val="28"/>
          <w:szCs w:val="28"/>
        </w:rPr>
        <w:t>Emissions Reduction Targets</w:t>
      </w:r>
    </w:p>
    <w:p w14:paraId="6E6B4B4D" w14:textId="77777777" w:rsidR="00D94195" w:rsidRDefault="00000000">
      <w:pPr>
        <w:spacing w:after="160"/>
      </w:pPr>
      <w:r>
        <w:rPr>
          <w:rFonts w:ascii="Arial" w:eastAsia="Arial" w:hAnsi="Arial" w:cs="Arial"/>
          <w:sz w:val="22"/>
          <w:szCs w:val="22"/>
        </w:rPr>
        <w:t>F12 Consult Ltd is committed to achieving Net Zero emissions by 2045 at the latest.</w:t>
      </w:r>
    </w:p>
    <w:p w14:paraId="6E6B4B4E" w14:textId="77777777" w:rsidR="00D94195" w:rsidRDefault="00000000">
      <w:pPr>
        <w:spacing w:after="160"/>
      </w:pPr>
      <w:r>
        <w:rPr>
          <w:rFonts w:ascii="Arial" w:eastAsia="Arial" w:hAnsi="Arial" w:cs="Arial"/>
          <w:sz w:val="22"/>
          <w:szCs w:val="22"/>
        </w:rPr>
        <w:t>Given the company's current baseline of 1.70 tCO2e, our immediate target is to hold total emissions at or below this level as the business grows, and to identify further reductions as more precise utility and cloud hosting data becomes available. Progress against this target will be reviewed annually alongside this plan.</w:t>
      </w:r>
    </w:p>
    <w:p w14:paraId="6E6B4B4F" w14:textId="77777777" w:rsidR="00D94195" w:rsidRDefault="00000000">
      <w:pPr>
        <w:pStyle w:val="Heading1"/>
        <w:spacing w:before="320" w:after="160"/>
      </w:pPr>
      <w:r>
        <w:rPr>
          <w:rFonts w:ascii="Montserrat" w:eastAsia="Montserrat" w:hAnsi="Montserrat" w:cs="Montserrat"/>
          <w:b/>
          <w:bCs/>
          <w:color w:val="1B4F39"/>
          <w:sz w:val="28"/>
          <w:szCs w:val="28"/>
        </w:rPr>
        <w:t>Carbon Reduction Initiatives</w:t>
      </w:r>
    </w:p>
    <w:p w14:paraId="6E6B4B50" w14:textId="77777777" w:rsidR="00D94195" w:rsidRDefault="00000000">
      <w:pPr>
        <w:pStyle w:val="Heading2"/>
        <w:spacing w:before="240" w:after="120"/>
      </w:pPr>
      <w:r>
        <w:rPr>
          <w:rFonts w:ascii="Montserrat" w:eastAsia="Montserrat" w:hAnsi="Montserrat" w:cs="Montserrat"/>
          <w:b/>
          <w:bCs/>
          <w:color w:val="1B4F39"/>
          <w:sz w:val="24"/>
          <w:szCs w:val="24"/>
        </w:rPr>
        <w:t>Completed and in place</w:t>
      </w:r>
    </w:p>
    <w:p w14:paraId="6E6B4B51" w14:textId="77777777" w:rsidR="00D94195" w:rsidRDefault="00000000">
      <w:pPr>
        <w:pStyle w:val="ListParagraph"/>
        <w:numPr>
          <w:ilvl w:val="0"/>
          <w:numId w:val="1"/>
        </w:numPr>
        <w:spacing w:after="80"/>
      </w:pPr>
      <w:r>
        <w:rPr>
          <w:rFonts w:ascii="Arial" w:eastAsia="Arial" w:hAnsi="Arial" w:cs="Arial"/>
          <w:sz w:val="22"/>
          <w:szCs w:val="22"/>
        </w:rPr>
        <w:t>Fully cloud hosted infrastructure through Microsoft Azure and Amazon Web Services, with no owned servers or on-premise data centre, avoiding the energy use and embodied carbon of company operated hardware.</w:t>
      </w:r>
    </w:p>
    <w:p w14:paraId="6E6B4B52" w14:textId="77777777" w:rsidR="00D94195" w:rsidRDefault="00000000">
      <w:pPr>
        <w:pStyle w:val="ListParagraph"/>
        <w:numPr>
          <w:ilvl w:val="0"/>
          <w:numId w:val="1"/>
        </w:numPr>
        <w:spacing w:after="80"/>
      </w:pPr>
      <w:r>
        <w:rPr>
          <w:rFonts w:ascii="Arial" w:eastAsia="Arial" w:hAnsi="Arial" w:cs="Arial"/>
          <w:sz w:val="22"/>
          <w:szCs w:val="22"/>
        </w:rPr>
        <w:t>A remote first working model, minimising office energy use and reducing the need for daily commuting.</w:t>
      </w:r>
    </w:p>
    <w:p w14:paraId="6E6B4B53" w14:textId="77777777" w:rsidR="00D94195" w:rsidRDefault="00000000">
      <w:pPr>
        <w:pStyle w:val="ListParagraph"/>
        <w:numPr>
          <w:ilvl w:val="0"/>
          <w:numId w:val="1"/>
        </w:numPr>
        <w:spacing w:after="80"/>
      </w:pPr>
      <w:r>
        <w:rPr>
          <w:rFonts w:ascii="Arial" w:eastAsia="Arial" w:hAnsi="Arial" w:cs="Arial"/>
          <w:sz w:val="22"/>
          <w:szCs w:val="22"/>
        </w:rPr>
        <w:t>A small, shared office footprint of 430 sq ft, used only 1 to 3 days per week.</w:t>
      </w:r>
    </w:p>
    <w:p w14:paraId="6E6B4B54" w14:textId="77777777" w:rsidR="00D94195" w:rsidRDefault="00000000">
      <w:pPr>
        <w:pStyle w:val="ListParagraph"/>
        <w:numPr>
          <w:ilvl w:val="0"/>
          <w:numId w:val="1"/>
        </w:numPr>
        <w:spacing w:after="80"/>
      </w:pPr>
      <w:r>
        <w:rPr>
          <w:rFonts w:ascii="Arial" w:eastAsia="Arial" w:hAnsi="Arial" w:cs="Arial"/>
          <w:sz w:val="22"/>
          <w:szCs w:val="22"/>
        </w:rPr>
        <w:t>A preference for video conferencing over in-person travel for client meetings where practical.</w:t>
      </w:r>
    </w:p>
    <w:p w14:paraId="6E6B4B55" w14:textId="77777777" w:rsidR="00D94195" w:rsidRDefault="00000000">
      <w:pPr>
        <w:pStyle w:val="ListParagraph"/>
        <w:numPr>
          <w:ilvl w:val="0"/>
          <w:numId w:val="1"/>
        </w:numPr>
        <w:spacing w:after="80"/>
      </w:pPr>
      <w:r>
        <w:rPr>
          <w:rFonts w:ascii="Arial" w:eastAsia="Arial" w:hAnsi="Arial" w:cs="Arial"/>
          <w:sz w:val="22"/>
          <w:szCs w:val="22"/>
        </w:rPr>
        <w:t>Uptake of an electric vehicle by a member of staff for both commuting and business travel.</w:t>
      </w:r>
    </w:p>
    <w:p w14:paraId="6E6B4B56" w14:textId="77777777" w:rsidR="00D94195" w:rsidRDefault="00000000">
      <w:pPr>
        <w:pStyle w:val="Heading2"/>
        <w:spacing w:before="240" w:after="120"/>
      </w:pPr>
      <w:r>
        <w:rPr>
          <w:rFonts w:ascii="Montserrat" w:eastAsia="Montserrat" w:hAnsi="Montserrat" w:cs="Montserrat"/>
          <w:b/>
          <w:bCs/>
          <w:color w:val="1B4F39"/>
          <w:sz w:val="24"/>
          <w:szCs w:val="24"/>
        </w:rPr>
        <w:t>Planned</w:t>
      </w:r>
    </w:p>
    <w:p w14:paraId="6E6B4B57" w14:textId="77777777" w:rsidR="00D94195" w:rsidRDefault="00000000">
      <w:pPr>
        <w:pStyle w:val="ListParagraph"/>
        <w:numPr>
          <w:ilvl w:val="0"/>
          <w:numId w:val="1"/>
        </w:numPr>
        <w:spacing w:after="80"/>
      </w:pPr>
      <w:r>
        <w:rPr>
          <w:rFonts w:ascii="Arial" w:eastAsia="Arial" w:hAnsi="Arial" w:cs="Arial"/>
          <w:sz w:val="22"/>
          <w:szCs w:val="22"/>
        </w:rPr>
        <w:t>Obtain actual electricity consumption data from the landlord where possible, to replace the current benchmark based estimate.</w:t>
      </w:r>
    </w:p>
    <w:p w14:paraId="6E6B4B58" w14:textId="77777777" w:rsidR="00D94195" w:rsidRDefault="00000000">
      <w:pPr>
        <w:pStyle w:val="ListParagraph"/>
        <w:numPr>
          <w:ilvl w:val="0"/>
          <w:numId w:val="1"/>
        </w:numPr>
        <w:spacing w:after="80"/>
      </w:pPr>
      <w:r>
        <w:rPr>
          <w:rFonts w:ascii="Arial" w:eastAsia="Arial" w:hAnsi="Arial" w:cs="Arial"/>
          <w:sz w:val="22"/>
          <w:szCs w:val="22"/>
        </w:rPr>
        <w:t>Request supplier specific carbon reporting from Microsoft Azure and Amazon Web Services to quantify cloud hosting emissions.</w:t>
      </w:r>
    </w:p>
    <w:p w14:paraId="6E6B4B59" w14:textId="77777777" w:rsidR="00D94195" w:rsidRDefault="00000000">
      <w:pPr>
        <w:pStyle w:val="ListParagraph"/>
        <w:numPr>
          <w:ilvl w:val="0"/>
          <w:numId w:val="1"/>
        </w:numPr>
        <w:spacing w:after="80"/>
      </w:pPr>
      <w:r>
        <w:rPr>
          <w:rFonts w:ascii="Arial" w:eastAsia="Arial" w:hAnsi="Arial" w:cs="Arial"/>
          <w:sz w:val="22"/>
          <w:szCs w:val="22"/>
        </w:rPr>
        <w:lastRenderedPageBreak/>
        <w:t>Encourage further uptake of electric vehicles and public transport for commuting and business travel.</w:t>
      </w:r>
    </w:p>
    <w:p w14:paraId="6E6B4B5A" w14:textId="77777777" w:rsidR="00D94195" w:rsidRDefault="00000000">
      <w:pPr>
        <w:pStyle w:val="ListParagraph"/>
        <w:numPr>
          <w:ilvl w:val="0"/>
          <w:numId w:val="1"/>
        </w:numPr>
        <w:spacing w:after="80"/>
      </w:pPr>
      <w:r>
        <w:rPr>
          <w:rFonts w:ascii="Arial" w:eastAsia="Arial" w:hAnsi="Arial" w:cs="Arial"/>
          <w:sz w:val="22"/>
          <w:szCs w:val="22"/>
        </w:rPr>
        <w:t>Review the energy tariff held by the office landlord and encourage a renewable backed supply where possible.</w:t>
      </w:r>
    </w:p>
    <w:p w14:paraId="6E6B4B5B" w14:textId="77777777" w:rsidR="00D94195" w:rsidRDefault="00000000">
      <w:pPr>
        <w:pStyle w:val="ListParagraph"/>
        <w:numPr>
          <w:ilvl w:val="0"/>
          <w:numId w:val="1"/>
        </w:numPr>
        <w:spacing w:after="80"/>
      </w:pPr>
      <w:r>
        <w:rPr>
          <w:rFonts w:ascii="Arial" w:eastAsia="Arial" w:hAnsi="Arial" w:cs="Arial"/>
          <w:sz w:val="22"/>
          <w:szCs w:val="22"/>
        </w:rPr>
        <w:t>Continue to monitor and report emissions annually each October.</w:t>
      </w:r>
    </w:p>
    <w:p w14:paraId="6E6B4B5C" w14:textId="77777777" w:rsidR="00D94195" w:rsidRDefault="00000000">
      <w:pPr>
        <w:pStyle w:val="Heading1"/>
        <w:spacing w:before="320" w:after="160"/>
      </w:pPr>
      <w:r>
        <w:rPr>
          <w:rFonts w:ascii="Montserrat" w:eastAsia="Montserrat" w:hAnsi="Montserrat" w:cs="Montserrat"/>
          <w:b/>
          <w:bCs/>
          <w:color w:val="1B4F39"/>
          <w:sz w:val="28"/>
          <w:szCs w:val="28"/>
        </w:rPr>
        <w:t>Declaration and Sign Off</w:t>
      </w:r>
    </w:p>
    <w:p w14:paraId="6E6B4B5D" w14:textId="77777777" w:rsidR="00D94195" w:rsidRDefault="00000000">
      <w:pPr>
        <w:spacing w:after="160"/>
      </w:pPr>
      <w:r>
        <w:rPr>
          <w:rFonts w:ascii="Arial" w:eastAsia="Arial" w:hAnsi="Arial" w:cs="Arial"/>
          <w:sz w:val="22"/>
          <w:szCs w:val="22"/>
        </w:rPr>
        <w:t>This Carbon Reduction Plan has been reviewed and approved by the board of F12 Consult Ltd.</w:t>
      </w:r>
    </w:p>
    <w:p w14:paraId="6E6B4B5E" w14:textId="77777777" w:rsidR="00D94195" w:rsidRDefault="00000000">
      <w:pPr>
        <w:spacing w:before="400"/>
      </w:pPr>
      <w:r>
        <w:rPr>
          <w:rFonts w:ascii="Arial" w:eastAsia="Arial" w:hAnsi="Arial" w:cs="Arial"/>
          <w:b/>
          <w:bCs/>
          <w:sz w:val="22"/>
          <w:szCs w:val="22"/>
        </w:rPr>
        <w:t>Signed:</w:t>
      </w:r>
    </w:p>
    <w:p w14:paraId="6E6B4B5F" w14:textId="77777777" w:rsidR="00D94195" w:rsidRDefault="00000000">
      <w:pPr>
        <w:spacing w:after="160"/>
      </w:pPr>
      <w:r>
        <w:rPr>
          <w:rFonts w:ascii="Arial" w:eastAsia="Arial" w:hAnsi="Arial" w:cs="Arial"/>
          <w:sz w:val="22"/>
          <w:szCs w:val="22"/>
        </w:rPr>
        <w:t>Phil Hey</w:t>
      </w:r>
    </w:p>
    <w:p w14:paraId="6E6B4B60" w14:textId="77777777" w:rsidR="00D94195" w:rsidRDefault="00000000">
      <w:pPr>
        <w:spacing w:after="160"/>
      </w:pPr>
      <w:r>
        <w:rPr>
          <w:rFonts w:ascii="Arial" w:eastAsia="Arial" w:hAnsi="Arial" w:cs="Arial"/>
          <w:sz w:val="22"/>
          <w:szCs w:val="22"/>
        </w:rPr>
        <w:t>CEO, F12 Consult Ltd</w:t>
      </w:r>
    </w:p>
    <w:p w14:paraId="6E6B4B61" w14:textId="77777777" w:rsidR="00D94195" w:rsidRDefault="00000000">
      <w:pPr>
        <w:spacing w:after="160"/>
      </w:pPr>
      <w:r>
        <w:rPr>
          <w:rFonts w:ascii="Arial" w:eastAsia="Arial" w:hAnsi="Arial" w:cs="Arial"/>
          <w:sz w:val="22"/>
          <w:szCs w:val="22"/>
        </w:rPr>
        <w:t>Date: 3 September 2026</w:t>
      </w:r>
    </w:p>
    <w:sectPr w:rsidR="00D94195">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EF2F1" w14:textId="77777777" w:rsidR="00C05FD9" w:rsidRDefault="00C05FD9">
      <w:r>
        <w:separator/>
      </w:r>
    </w:p>
  </w:endnote>
  <w:endnote w:type="continuationSeparator" w:id="0">
    <w:p w14:paraId="6BF0794C" w14:textId="77777777" w:rsidR="00C05FD9" w:rsidRDefault="00C05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4B65" w14:textId="5279385F" w:rsidR="00D94195" w:rsidRDefault="00000000">
    <w:pPr>
      <w:jc w:val="center"/>
    </w:pPr>
    <w:r>
      <w:rPr>
        <w:rFonts w:ascii="Arial" w:eastAsia="Arial" w:hAnsi="Arial" w:cs="Arial"/>
        <w:color w:val="1B4F39"/>
        <w:sz w:val="18"/>
        <w:szCs w:val="18"/>
      </w:rPr>
      <w:t xml:space="preserve">Page </w:t>
    </w:r>
    <w:r>
      <w:rPr>
        <w:rFonts w:ascii="Arial" w:eastAsia="Arial" w:hAnsi="Arial" w:cs="Arial"/>
        <w:color w:val="1B4F39"/>
        <w:sz w:val="18"/>
        <w:szCs w:val="18"/>
      </w:rPr>
      <w:fldChar w:fldCharType="begin"/>
    </w:r>
    <w:r>
      <w:rPr>
        <w:rFonts w:ascii="Arial" w:eastAsia="Arial" w:hAnsi="Arial" w:cs="Arial"/>
        <w:color w:val="1B4F39"/>
        <w:sz w:val="18"/>
        <w:szCs w:val="18"/>
      </w:rPr>
      <w:instrText>PAGE</w:instrText>
    </w:r>
    <w:r>
      <w:rPr>
        <w:rFonts w:ascii="Arial" w:eastAsia="Arial" w:hAnsi="Arial" w:cs="Arial"/>
        <w:color w:val="1B4F39"/>
        <w:sz w:val="18"/>
        <w:szCs w:val="18"/>
      </w:rPr>
      <w:fldChar w:fldCharType="separate"/>
    </w:r>
    <w:r w:rsidR="00C473DA">
      <w:rPr>
        <w:rFonts w:ascii="Arial" w:eastAsia="Arial" w:hAnsi="Arial" w:cs="Arial"/>
        <w:noProof/>
        <w:color w:val="1B4F39"/>
        <w:sz w:val="18"/>
        <w:szCs w:val="18"/>
      </w:rPr>
      <w:t>2</w:t>
    </w:r>
    <w:r>
      <w:rPr>
        <w:rFonts w:ascii="Arial" w:eastAsia="Arial" w:hAnsi="Arial" w:cs="Arial"/>
        <w:color w:val="1B4F3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36EEF" w14:textId="77777777" w:rsidR="00C05FD9" w:rsidRDefault="00C05FD9">
      <w:r>
        <w:separator/>
      </w:r>
    </w:p>
  </w:footnote>
  <w:footnote w:type="continuationSeparator" w:id="0">
    <w:p w14:paraId="067ABD48" w14:textId="77777777" w:rsidR="00C05FD9" w:rsidRDefault="00C05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4B64" w14:textId="77777777" w:rsidR="00D94195" w:rsidRDefault="00000000">
    <w:pPr>
      <w:pBdr>
        <w:bottom w:val="single" w:sz="6" w:space="4" w:color="CCCCCC"/>
      </w:pBdr>
      <w:tabs>
        <w:tab w:val="right" w:pos="9026"/>
      </w:tabs>
    </w:pPr>
    <w:r>
      <w:rPr>
        <w:noProof/>
      </w:rPr>
      <w:drawing>
        <wp:inline distT="0" distB="0" distL="0" distR="0" wp14:anchorId="6E6B4B66" wp14:editId="6E6B4B67">
          <wp:extent cx="1047750" cy="190500"/>
          <wp:effectExtent l="0" t="0" r="0" b="0"/>
          <wp:docPr id="451879167" name="Picture 451879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47750" cy="190500"/>
                  </a:xfrm>
                  <a:prstGeom prst="rect">
                    <a:avLst/>
                  </a:prstGeom>
                </pic:spPr>
              </pic:pic>
            </a:graphicData>
          </a:graphic>
        </wp:inline>
      </w:drawing>
    </w:r>
    <w:r>
      <w:rPr>
        <w:rFonts w:ascii="Arial" w:eastAsia="Arial" w:hAnsi="Arial" w:cs="Arial"/>
        <w:color w:val="595959"/>
        <w:sz w:val="18"/>
        <w:szCs w:val="18"/>
      </w:rPr>
      <w:tab/>
      <w:t>Carbon Reduction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C43A3"/>
    <w:multiLevelType w:val="hybridMultilevel"/>
    <w:tmpl w:val="642EBAE2"/>
    <w:lvl w:ilvl="0" w:tplc="E1981B02">
      <w:start w:val="1"/>
      <w:numFmt w:val="bullet"/>
      <w:lvlText w:val="●"/>
      <w:lvlJc w:val="left"/>
      <w:pPr>
        <w:ind w:left="720" w:hanging="360"/>
      </w:pPr>
    </w:lvl>
    <w:lvl w:ilvl="1" w:tplc="A21A2698">
      <w:start w:val="1"/>
      <w:numFmt w:val="bullet"/>
      <w:lvlText w:val="○"/>
      <w:lvlJc w:val="left"/>
      <w:pPr>
        <w:ind w:left="1440" w:hanging="360"/>
      </w:pPr>
    </w:lvl>
    <w:lvl w:ilvl="2" w:tplc="D768539C">
      <w:start w:val="1"/>
      <w:numFmt w:val="bullet"/>
      <w:lvlText w:val="■"/>
      <w:lvlJc w:val="left"/>
      <w:pPr>
        <w:ind w:left="2160" w:hanging="360"/>
      </w:pPr>
    </w:lvl>
    <w:lvl w:ilvl="3" w:tplc="0E7E6716">
      <w:start w:val="1"/>
      <w:numFmt w:val="bullet"/>
      <w:lvlText w:val="●"/>
      <w:lvlJc w:val="left"/>
      <w:pPr>
        <w:ind w:left="2880" w:hanging="360"/>
      </w:pPr>
    </w:lvl>
    <w:lvl w:ilvl="4" w:tplc="2DB4C772">
      <w:start w:val="1"/>
      <w:numFmt w:val="bullet"/>
      <w:lvlText w:val="○"/>
      <w:lvlJc w:val="left"/>
      <w:pPr>
        <w:ind w:left="3600" w:hanging="360"/>
      </w:pPr>
    </w:lvl>
    <w:lvl w:ilvl="5" w:tplc="06EE52BE">
      <w:start w:val="1"/>
      <w:numFmt w:val="bullet"/>
      <w:lvlText w:val="■"/>
      <w:lvlJc w:val="left"/>
      <w:pPr>
        <w:ind w:left="4320" w:hanging="360"/>
      </w:pPr>
    </w:lvl>
    <w:lvl w:ilvl="6" w:tplc="B150DD32">
      <w:start w:val="1"/>
      <w:numFmt w:val="bullet"/>
      <w:lvlText w:val="●"/>
      <w:lvlJc w:val="left"/>
      <w:pPr>
        <w:ind w:left="5040" w:hanging="360"/>
      </w:pPr>
    </w:lvl>
    <w:lvl w:ilvl="7" w:tplc="4334B8D4">
      <w:start w:val="1"/>
      <w:numFmt w:val="bullet"/>
      <w:lvlText w:val="●"/>
      <w:lvlJc w:val="left"/>
      <w:pPr>
        <w:ind w:left="5760" w:hanging="360"/>
      </w:pPr>
    </w:lvl>
    <w:lvl w:ilvl="8" w:tplc="12629458">
      <w:start w:val="1"/>
      <w:numFmt w:val="bullet"/>
      <w:lvlText w:val="●"/>
      <w:lvlJc w:val="left"/>
      <w:pPr>
        <w:ind w:left="6480" w:hanging="360"/>
      </w:pPr>
    </w:lvl>
  </w:abstractNum>
  <w:num w:numId="1" w16cid:durableId="8252437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195"/>
    <w:rsid w:val="0005675C"/>
    <w:rsid w:val="00C05FD9"/>
    <w:rsid w:val="00C473DA"/>
    <w:rsid w:val="00D941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B4B18"/>
  <w15:docId w15:val="{0A0C4F31-A40E-47E2-9BEB-52C3808EB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782</Words>
  <Characters>4458</Characters>
  <Application>Microsoft Office Word</Application>
  <DocSecurity>0</DocSecurity>
  <Lines>37</Lines>
  <Paragraphs>10</Paragraphs>
  <ScaleCrop>false</ScaleCrop>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Philip Hey</cp:lastModifiedBy>
  <cp:revision>2</cp:revision>
  <dcterms:created xsi:type="dcterms:W3CDTF">2026-09-03T08:20:00Z</dcterms:created>
  <dcterms:modified xsi:type="dcterms:W3CDTF">2026-09-03T08:22:00Z</dcterms:modified>
</cp:coreProperties>
</file>